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AL-FARABI KAZAKH NATIONAL UNIVERSITY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AFFIRM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Dean of the Faculty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 (signature)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Kalmatayeva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Z.A.</w:t>
      </w:r>
    </w:p>
    <w:p w:rsidR="00B51BBB" w:rsidRPr="009F56E0" w:rsidRDefault="009F56E0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"______" ________ 202</w:t>
      </w:r>
      <w:r w:rsidRP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AND METHODICAL COMPLEX OF DISCIPLINE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FD6483" w:rsidRDefault="00280F12" w:rsidP="00632A61">
      <w:pPr>
        <w:pStyle w:val="aa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>OTMF6</w:t>
      </w:r>
      <w:r w:rsidRPr="00FD6483">
        <w:rPr>
          <w:b/>
          <w:bCs/>
          <w:color w:val="000000"/>
          <w:lang w:val="en-US"/>
        </w:rPr>
        <w:t>302</w:t>
      </w:r>
      <w:r w:rsidR="00B51BBB" w:rsidRPr="00B51BBB">
        <w:rPr>
          <w:b/>
          <w:bCs/>
          <w:color w:val="000000"/>
          <w:lang w:val="en-US"/>
        </w:rPr>
        <w:t xml:space="preserve"> </w:t>
      </w:r>
      <w:r w:rsidR="009E2F17">
        <w:rPr>
          <w:b/>
          <w:bCs/>
          <w:color w:val="000000"/>
          <w:lang w:val="en-US"/>
        </w:rPr>
        <w:t>“</w:t>
      </w:r>
      <w:proofErr w:type="spellStart"/>
      <w:r w:rsidR="009E2F17">
        <w:rPr>
          <w:b/>
          <w:bCs/>
          <w:color w:val="000000"/>
          <w:lang w:val="en-US"/>
        </w:rPr>
        <w:t>Omics</w:t>
      </w:r>
      <w:proofErr w:type="spellEnd"/>
      <w:r w:rsidR="00D167E7">
        <w:rPr>
          <w:b/>
          <w:bCs/>
          <w:color w:val="000000"/>
          <w:lang w:val="en-US"/>
        </w:rPr>
        <w:t>” technologies in medicine and ph</w:t>
      </w:r>
      <w:r w:rsidR="00B51BBB">
        <w:rPr>
          <w:b/>
          <w:bCs/>
          <w:color w:val="000000"/>
          <w:lang w:val="en-US"/>
        </w:rPr>
        <w:t>armacy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 Health care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program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7M10117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="004051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armacy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Course – 1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Semester – 2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Number of credits – 5 (5 ECTS)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51BBB" w:rsidRPr="00E62C02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Start"/>
      <w:proofErr w:type="gram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lmaty</w:t>
      </w:r>
      <w:proofErr w:type="spell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</w:t>
      </w:r>
      <w:r w:rsidR="009F56E0" w:rsidRPr="006946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Educational and methodical complex of discipline was compiled by PhD </w:t>
      </w:r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I. </w:t>
      </w:r>
      <w:proofErr w:type="spellStart"/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Pinskiy</w:t>
      </w:r>
      <w:proofErr w:type="spellEnd"/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Based on the working curriculum in the specialty </w:t>
      </w:r>
      <w:r w:rsidR="00C07CDB" w:rsidRPr="00C07CD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7M101 Health care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Considered and recommended at a meeting of the department fundamental medicine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from "___" ______________ </w:t>
      </w:r>
      <w:r w:rsidR="00B34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</w:t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protocol No. ...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0B397D" w:rsidP="000B397D">
      <w:pPr>
        <w:spacing w:before="240" w:after="24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department  </w:t>
      </w:r>
      <w:r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proofErr w:type="gramEnd"/>
      <w:r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</w:t>
      </w:r>
      <w:r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</w:t>
      </w:r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proofErr w:type="spellStart"/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Sarsenova</w:t>
      </w:r>
      <w:proofErr w:type="spellEnd"/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L.K.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  <w:proofErr w:type="gram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Recommended by the faculty methodical bureau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"____" ___________ 20 ..., protocol No.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397D" w:rsidRPr="000B397D" w:rsidRDefault="00B51BBB" w:rsidP="000B397D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method bureau of </w:t>
      </w:r>
      <w:r w:rsid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faculty ___________</w:t>
      </w:r>
      <w:r w:rsidR="000B397D"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proofErr w:type="gramStart"/>
      <w:r w:rsidR="000B397D"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0B39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Ualiyeva</w:t>
      </w:r>
      <w:proofErr w:type="spellEnd"/>
      <w:proofErr w:type="gramEnd"/>
      <w:r w:rsidR="000B39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E.</w:t>
      </w:r>
      <w:r w:rsidR="000B397D"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B397D" w:rsidRPr="000B397D" w:rsidRDefault="00B51BBB" w:rsidP="000B397D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</w:t>
      </w:r>
      <w:r w:rsidR="000B397D"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</w:p>
    <w:p w:rsidR="00B51BBB" w:rsidRPr="00B51BBB" w:rsidRDefault="000B397D" w:rsidP="000B397D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39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</w:t>
      </w:r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  <w:proofErr w:type="gramEnd"/>
      <w:r w:rsidR="00B51BBB"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Al-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Farabi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Kazakh National University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Faculty of Medicine and Social Healthcare 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SYLLABUS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Spring semester, academic year 2020-2021, English division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Academic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course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information</w:t>
      </w:r>
      <w:proofErr w:type="spellEnd"/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980"/>
        <w:gridCol w:w="765"/>
        <w:gridCol w:w="930"/>
        <w:gridCol w:w="10"/>
        <w:gridCol w:w="1130"/>
        <w:gridCol w:w="855"/>
        <w:gridCol w:w="1305"/>
        <w:gridCol w:w="1246"/>
      </w:tblGrid>
      <w:tr w:rsidR="00B51BBB" w:rsidRPr="00B51BBB" w:rsidTr="00B51BBB">
        <w:trPr>
          <w:trHeight w:val="26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code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title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No. of hours per week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Number of credits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</w:p>
        </w:tc>
      </w:tr>
      <w:tr w:rsidR="00CC3DEA" w:rsidRPr="00B51BBB" w:rsidTr="00B51BBB">
        <w:trPr>
          <w:trHeight w:val="26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Lect.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Pract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Lab.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B51BBB" w:rsidTr="00B51BB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0D089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OTMF6</w:t>
            </w:r>
            <w:r w:rsidR="00FD6483" w:rsidRPr="00FD6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EB163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FD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 technologies in medicine and pharmacy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51BBB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Lecturer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CC3DEA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060087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4A61D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 w:rsidR="00FD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Biology </w:t>
            </w:r>
            <w:r w:rsidR="004A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 Biotechnology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Teacher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EB163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55FCB" w:rsidRPr="00060087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4A61DD" w:rsidP="00FD648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Biology and Biotechnology</w:t>
            </w:r>
          </w:p>
        </w:tc>
      </w:tr>
    </w:tbl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9968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123"/>
      </w:tblGrid>
      <w:tr w:rsidR="00B51BBB" w:rsidRPr="00060087" w:rsidTr="00EB1631">
        <w:trPr>
          <w:trHeight w:val="107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Academic presentation of the course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Course type: 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major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discipline of university component from the module</w:t>
            </w:r>
            <w:r w:rsidR="00A6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M-4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“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Pharmaceutical researcher in the field of the circulation of medicines and medical devices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”. </w:t>
            </w:r>
          </w:p>
          <w:p w:rsidR="00B51BBB" w:rsidRPr="005B6D5E" w:rsidRDefault="00B51BBB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Aim of discipline:</w:t>
            </w: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get in-depth knowledge of "</w:t>
            </w:r>
            <w:proofErr w:type="spellStart"/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Omic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s</w:t>
            </w:r>
            <w:proofErr w:type="spellEnd"/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" technologies used in medicine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51BBB" w:rsidRDefault="00B51BBB" w:rsidP="00713A0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After completing this course students will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-to have an idea of the modern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correctly choose one of the research methods for solving the stated experimental and theoretical problems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describe “proteomics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highlight signs and draw conclusions on protein microchips, etc.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-classify "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</w:t>
            </w:r>
            <w:proofErr w:type="spellEnd"/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context of clinical diagnosis.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proofErr w:type="gram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find the relationship between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ogies and personalized medicine.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-demonstrate knowledge of the use of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omix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technologies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-describe a group of monogenic and multifactorial diseases.</w:t>
            </w:r>
          </w:p>
          <w:p w:rsidR="007C6FD4" w:rsidRPr="00B51BBB" w:rsidRDefault="005B6D5E" w:rsidP="0070198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understand the 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methods for obtaining and analyzing experimental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51BBB" w:rsidRPr="00060087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6E22C6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Organization and planning of scientific research in pharmaceutical chemistry</w:t>
            </w:r>
            <w:r w:rsidRPr="006E22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060087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Post 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9F56E0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Research Methodology in pharmacy. Pharmacist critical thinking</w:t>
            </w:r>
            <w:r w:rsidRPr="009F56E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151426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Information resources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Basic literature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946B3" w:rsidRPr="006946B3" w:rsidRDefault="007649B8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B. 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Basics of Biomedicine</w:t>
            </w:r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training aid / B. S. </w:t>
            </w:r>
            <w:proofErr w:type="spellStart"/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Ministry of Health of the Republic of Kazakhstan. - </w:t>
            </w:r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Astana :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Ақнұр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2017. - 197 p. - URL: </w:t>
            </w:r>
            <w:r w:rsidR="006946B3"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 ISBN 978-601-7894-91-7</w:t>
            </w:r>
          </w:p>
          <w:p w:rsidR="006946B3" w:rsidRPr="008976B1" w:rsidRDefault="006946B3" w:rsidP="008976B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Orozalievna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 Modeling of the Biomedical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 book / A. O.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2018. - 106 p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</w:t>
            </w:r>
            <w:r w:rsidR="00DB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iogr</w:t>
            </w:r>
            <w:proofErr w:type="spellEnd"/>
            <w:r w:rsidR="00DB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="00DB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proofErr w:type="gramEnd"/>
            <w:r w:rsidR="00DB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sections.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ISBN 978-601-04-3730-2</w:t>
            </w:r>
            <w:r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D00F9" w:rsidRPr="005D00F9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3. </w:t>
            </w:r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Genetics : textbook / D. K.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Aydarbaeva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K. K.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Muhambetzhanov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Z. S.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Kenzhebaeva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[et al.] ; Ministry of Education and Science of the Republic of Kazakhstan. - </w:t>
            </w:r>
            <w:proofErr w:type="gram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Association of Higher Educational Institutions of Kazakhstan, 2016. - 243 p</w:t>
            </w:r>
            <w:proofErr w:type="gram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5D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p. 229-230. - ISBN 978-601-217-586-8</w:t>
            </w:r>
          </w:p>
          <w:p w:rsidR="005D00F9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Aizhan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Izbasarovna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PCR – </w:t>
            </w:r>
            <w:proofErr w:type="gram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Diagnostics :</w:t>
            </w:r>
            <w:proofErr w:type="gram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educational manual / A. I.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2016. - 127, [1] p. - URL: http://elib.kaznu.kz/order-book. - </w:t>
            </w:r>
            <w:proofErr w:type="spellStart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р. 124. - ISBN 978-601-04-1237-8</w:t>
            </w:r>
          </w:p>
          <w:p w:rsidR="00C40CF8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Nanobiotechnology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inorganic Nanoparticles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vs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Organic Nanoparticles /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Instituto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Nanociencia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Aragon-ARAID,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Universisdad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Zaragoza ;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ed. by J. M. de la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Fuente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Grazu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2012. - 520 p</w:t>
            </w:r>
            <w:proofErr w:type="gram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(Frontiers of </w:t>
            </w:r>
            <w:proofErr w:type="spellStart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Nanocience</w:t>
            </w:r>
            <w:proofErr w:type="spellEnd"/>
            <w:r w:rsidR="00E46786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Vol. 4). - URL: http://elib.kaznu.kz/order-book. - Ind.: p. 509-520. - ISBN 978-0-12-415769-9</w:t>
            </w:r>
          </w:p>
          <w:p w:rsidR="009223B2" w:rsidRPr="00D167E7" w:rsidRDefault="009223B2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649B8" w:rsidRPr="006946B3" w:rsidRDefault="00B51BBB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Additional literature:</w:t>
            </w:r>
          </w:p>
          <w:p w:rsidR="00E46786" w:rsidRPr="00C40CF8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E46786" w:rsidRPr="00C40CF8">
              <w:rPr>
                <w:lang w:val="en-US"/>
              </w:rPr>
              <w:t xml:space="preserve"> </w:t>
            </w:r>
            <w:proofErr w:type="spellStart"/>
            <w:r w:rsidR="00E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Vlahou</w:t>
            </w:r>
            <w:proofErr w:type="spellEnd"/>
            <w:r w:rsidR="00E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</w:t>
            </w:r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Integration of </w:t>
            </w:r>
            <w:proofErr w:type="spellStart"/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 w:rsidR="00E46786"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Approaches and Systems Biology</w:t>
            </w:r>
          </w:p>
          <w:p w:rsidR="00E46786" w:rsidRDefault="00E46786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</w:t>
            </w:r>
            <w:proofErr w:type="gramEnd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Clinical Applications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 John Wiley &amp; Sons, Inc.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382 p.  </w:t>
            </w:r>
          </w:p>
          <w:p w:rsidR="00E46786" w:rsidRPr="00D167E7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Yu Liu. OMICS in Clinical Practice /</w:t>
            </w:r>
            <w:r w:rsidR="00E46786" w:rsidRPr="00C21078">
              <w:rPr>
                <w:lang w:val="en-US"/>
              </w:rPr>
              <w:t xml:space="preserve"> </w:t>
            </w:r>
            <w:r w:rsidR="00E46786" w:rsidRPr="00C2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 by Apple Academic Press, Inc.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456 p.</w:t>
            </w:r>
          </w:p>
          <w:p w:rsidR="00E46786" w:rsidRDefault="005D00F9" w:rsidP="00E4678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Barh</w:t>
            </w:r>
            <w:proofErr w:type="spellEnd"/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D., Blum K., Madigan M.A. OMICS. Biomedical Perspectives and Applications / </w:t>
            </w:r>
            <w:r w:rsidR="00E46786" w:rsidRPr="00C1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2012 by Taylor &amp; Francis Group, LLC</w:t>
            </w:r>
            <w:r w:rsidR="00E4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– 516 p.</w:t>
            </w:r>
          </w:p>
          <w:p w:rsidR="00AD2537" w:rsidRPr="00AD2537" w:rsidRDefault="005D00F9" w:rsidP="005D00F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9223B2" w:rsidRP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Clark, David 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P.</w:t>
            </w:r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Biotechnology: Applying the Genetic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Revolution :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textbook / D. Clark, N.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Pazdernik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2009. - 762 p. - 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URL: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 </w:t>
            </w:r>
            <w:r w:rsidR="000272D1" w:rsidRPr="000272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ISBN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978-0-12-175552-2 </w:t>
            </w:r>
            <w:r w:rsidR="00AD2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AD2537">
            <w:pPr>
              <w:spacing w:after="0" w:line="240" w:lineRule="auto"/>
              <w:ind w:leftChars="-1" w:hangingChars="1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Internet resources:</w:t>
            </w:r>
          </w:p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Lecturio.com</w:t>
            </w:r>
          </w:p>
          <w:p w:rsid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hyperlink r:id="rId6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https://www.lecturio.com</w:t>
              </w:r>
            </w:hyperlink>
          </w:p>
          <w:p w:rsidR="00873915" w:rsidRDefault="00873915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Taylor and Francis Online</w:t>
            </w:r>
          </w:p>
          <w:p w:rsidR="00873915" w:rsidRPr="00B51BBB" w:rsidRDefault="00151426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0B253E" w:rsidRPr="001B0CFD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https://www.tandfonline.com/action/doSearch?AllField=omics&amp;SeriesKey=iedc20&amp;pageSize=10&amp;subjectTitle=&amp;startPage=0</w:t>
              </w:r>
            </w:hyperlink>
            <w:r w:rsidR="000B2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“Human Genome” Project </w:t>
            </w:r>
            <w:hyperlink r:id="rId8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https://web.ornl.gov/sci/techresources/Human_Genome/project/info.shtml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NCBI - The National Center for Biotechnology Information, USA </w:t>
            </w:r>
            <w:hyperlink r:id="rId9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NDB - a portal for three-dimensional structural information about nucleic acids </w:t>
            </w:r>
            <w:hyperlink r:id="rId10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http://ndbserver.rutgers.edu/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OMIM - compendium of human genes and genetic phenotypes </w:t>
            </w:r>
            <w:hyperlink r:id="rId11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https://www.ncbi.nlm.nih.gov/omim?db=OMIM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Ensembl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Genome browser for vertebrate genomes </w:t>
            </w:r>
            <w:hyperlink r:id="rId12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http://asia.ensembl.org/index.html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EMBL-EBI - European Bioinformatics Institute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https://www.ebi.ac.uk/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Video lectures by Molecular Biology: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B51BBB" w:rsidRDefault="0015142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B51BBB"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https://www.khanacademy.org/</w:t>
              </w:r>
            </w:hyperlink>
          </w:p>
          <w:p w:rsidR="00873915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Coursera</w:t>
            </w:r>
            <w:proofErr w:type="spellEnd"/>
          </w:p>
          <w:p w:rsidR="00873915" w:rsidRPr="00B51BBB" w:rsidRDefault="0015142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="00873915" w:rsidRPr="00E014A6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https://www.coursera.org/</w:t>
              </w:r>
            </w:hyperlink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51BBB" w:rsidRPr="00EC5A4D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910BB4" w:rsidRDefault="00910BB4" w:rsidP="00910BB4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Academic policy of the course in the context of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University moral and ethical values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Academic behavior rules.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Attendance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Attendance for lectures and workshops is mandatory. Attendance for an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additional extracurricular research activity is highly recommended for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increasing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 assessment. No less than 50% attendance is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required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the lectures and workshops. Additional research activities are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required, but highly beneficial for the course better comprehension.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 participation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students are expected to participate in class activities and discussions.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Classroom decorum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unrelated activities are prohibited during a lecture and workshop time.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Cell phones, computer games and unrelated Internet and computer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activities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strictly prohibited.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Missed exams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can retake midterm exams with an official document for the days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absence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Other excuses are not accepted and the exam will be annulated. Missing of the final exam is registered according the rules of Academic Policy of the University.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Late assignments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Late assignments, projects, reports and etc. are not accepted with 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excuses.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Appeals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may appeal instructor decisions by speaking directly with him. If a solution is not found students can consult with Head of the Department.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Electronic resources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are expected to regularly check your emails for updates and announcements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about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Plagiarism and Cheating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 a student, you are expected to adhere to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norms of academic integrity. Academic dishonesty includes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plagiarism, cheating, fabrication, unauthorized collaboration, use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during exams and quizzes, and other forms. These students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will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 given 0 with no further retake activities.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Academic values.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Academic honesty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will be no tolerance for lapses of academic integrity. A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 found to be guilty of falsifying, plagiarism and cheating 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any other form of academic dishonesty will be given a failing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Tolerance and non-discrimination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zero tolerance for unsafe activity in laboratory during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workshops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additional research activities. There will be no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discrimination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per nationality, gender and anything else.</w:t>
            </w:r>
          </w:p>
        </w:tc>
      </w:tr>
      <w:tr w:rsidR="00B51BBB" w:rsidRPr="00060087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Evaluation and attestation policy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Criteria-based evaluation: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evaluation of study results in accordance with the descriptors, test of competencies (the results of study that are indicated in goal of the course) at border control and examinations.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Testing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(open or closed questions) with situational tasks, diagrams, molecular formulas)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Written / oral quiz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Group Problem solving (cases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- current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Direct observation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control /SIW: learning outcomes No. 9-11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Summative evaluation: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="007F1E43" w:rsidRPr="007F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F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seminars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 be held during the course. The maximum score that can be obtained in one lesson for right answers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equals to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points. Points for the classwork will constitute abo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% of the final course grade.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 the </w:t>
            </w:r>
            <w:r w:rsidR="002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Independent Student Work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ISW) students can get maximum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 additionally to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2.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Colloquium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examinations will be held in test and written form on the 5th, 10th and 15th week. Score for each control examination is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40-5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0 points and equals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about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 of the final course grade. Exam questions will be based on the course material.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Final examination will be held in </w:t>
            </w:r>
            <w:r w:rsidR="005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written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form and constitute 40% of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Final course grade is calculated in accordance with Academic policy of the University by the following formula: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1+МТ+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2/3)х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,6+(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х0,4),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CC1 is Current Control 1,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MT is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MidTerm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CC2 is Current Control 2,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 is Final Examination.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who take less than 50% of the final course grade by the results of current control (CC1+МТ+CC2/3) will not be admitted to final examination.</w:t>
            </w:r>
          </w:p>
        </w:tc>
      </w:tr>
    </w:tbl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Calendar (schedule) of the implementation of the course content</w:t>
      </w: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Coursework</w:t>
      </w:r>
      <w:proofErr w:type="spellEnd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calendar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02"/>
        <w:gridCol w:w="6206"/>
        <w:gridCol w:w="857"/>
        <w:gridCol w:w="868"/>
      </w:tblGrid>
      <w:tr w:rsidR="00B51BBB" w:rsidRPr="00B51BBB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Week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Topic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Max. point</w:t>
            </w:r>
          </w:p>
        </w:tc>
      </w:tr>
      <w:tr w:rsidR="00B51BBB" w:rsidRPr="00B51BBB" w:rsidTr="00B51BB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62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1. 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1. </w:t>
            </w:r>
            <w:r w:rsidR="00625711"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9E0E74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="009E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62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1D494A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33              10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Colloquium</w:t>
            </w:r>
            <w:proofErr w:type="spellEnd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451869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163F17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416DD0" w:rsidRPr="00B51BBB" w:rsidTr="00164876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6DD0" w:rsidRPr="00B51BBB" w:rsidRDefault="00416DD0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DD0" w:rsidRPr="00B51BBB" w:rsidRDefault="00416DD0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6. 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DD0" w:rsidRPr="00B51BBB" w:rsidRDefault="00416DD0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DD0" w:rsidRPr="00B51BBB" w:rsidRDefault="00416DD0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416DD0" w:rsidRPr="00B51BBB" w:rsidTr="0016487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6DD0" w:rsidRPr="00B51BBB" w:rsidRDefault="00416DD0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DD0" w:rsidRPr="00B51BBB" w:rsidRDefault="00416DD0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6.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DD0" w:rsidRPr="00B51BBB" w:rsidRDefault="00416DD0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DD0" w:rsidRPr="00B51BBB" w:rsidRDefault="00416DD0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416DD0" w:rsidRPr="00416DD0" w:rsidTr="0016487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0" w:rsidRPr="00B51BBB" w:rsidRDefault="00416DD0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16DD0" w:rsidRDefault="00F5580D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ISWT</w:t>
            </w:r>
            <w:r w:rsidR="00416DD0" w:rsidRPr="0041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416D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by the task for ISW.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D0" w:rsidRPr="00B51BBB" w:rsidRDefault="00416DD0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0" w:rsidRDefault="00416DD0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5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45186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</w:t>
            </w:r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7.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7.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C1570F" w:rsidRPr="00451869" w:rsidTr="00BB38C7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70F" w:rsidRPr="00B51BBB" w:rsidRDefault="00C1570F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 8. Proteomics and methods of proteome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C1570F" w:rsidRPr="00451869" w:rsidTr="00BB38C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70F" w:rsidRPr="00B51BBB" w:rsidRDefault="00C1570F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8. Proteomics and methods of proteome investigation.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C1570F" w:rsidRPr="00C1570F" w:rsidTr="00BB38C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70F" w:rsidRDefault="00F5580D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ISWT</w:t>
            </w:r>
            <w:r w:rsidR="00C1570F" w:rsidRPr="0041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C15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by the task for ISW.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0F" w:rsidRDefault="00C1570F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63F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163F17" w:rsidRDefault="00163F17" w:rsidP="00163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C1570F" w:rsidRPr="00451869" w:rsidTr="00D638B6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70F" w:rsidRPr="00B51BBB" w:rsidRDefault="00C1570F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C1570F" w:rsidRPr="00451869" w:rsidTr="00D638B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70F" w:rsidRPr="00B51BBB" w:rsidRDefault="00C1570F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C1570F" w:rsidRPr="00B51BBB" w:rsidTr="00D638B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70F" w:rsidRPr="00B51BBB" w:rsidRDefault="00C1570F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Colloqium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>5</w:t>
            </w: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C1570F" w:rsidRPr="00B51BBB" w:rsidTr="00D638B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70F" w:rsidRPr="00B51BBB" w:rsidRDefault="00C1570F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  <w:t>Current Control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0F" w:rsidRPr="00B51BBB" w:rsidRDefault="00C1570F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C1570F" w:rsidRPr="00C1570F" w:rsidTr="00D638B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0F" w:rsidRPr="00B51BBB" w:rsidRDefault="00C1570F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70F" w:rsidRDefault="00F5580D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ISWT</w:t>
            </w:r>
            <w:r w:rsidR="00C1570F" w:rsidRPr="0041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C15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by the task for ISW.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F" w:rsidRPr="00B51BBB" w:rsidRDefault="00C1570F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0F" w:rsidRPr="00C1570F" w:rsidRDefault="00C1570F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884D1E" w:rsidRPr="009E2F17" w:rsidTr="00A6791C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Pr="00B51BBB" w:rsidRDefault="00884D1E" w:rsidP="009E2F17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884D1E" w:rsidRPr="009E2F17" w:rsidTr="00A6791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Pr="00B51BBB" w:rsidRDefault="00884D1E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884D1E" w:rsidRPr="00884D1E" w:rsidTr="00A6791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D1E" w:rsidRPr="00B51BBB" w:rsidRDefault="00884D1E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Default="00F5580D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ISWT</w:t>
            </w:r>
            <w:r w:rsidR="00884D1E" w:rsidRPr="0041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884D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by the task for ISW.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D1E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9E2F17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884D1E" w:rsidRPr="009E2F17" w:rsidTr="006A7CCE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Pr="009E2F17" w:rsidRDefault="00884D1E" w:rsidP="009E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884D1E" w:rsidRPr="009E2F17" w:rsidTr="006A7CC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Pr="00B51BBB" w:rsidRDefault="00884D1E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14. 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D1E" w:rsidRPr="00B51BBB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884D1E" w:rsidRPr="00884D1E" w:rsidTr="006A7CC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D1E" w:rsidRPr="00B51BBB" w:rsidRDefault="00884D1E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84D1E" w:rsidRDefault="00F5580D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ISWT</w:t>
            </w:r>
            <w:r w:rsidR="00884D1E" w:rsidRPr="0041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884D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by the task for ISW.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1E" w:rsidRPr="00B51BBB" w:rsidRDefault="00884D1E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D1E" w:rsidRDefault="00884D1E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9E2F17" w:rsidTr="00625711">
        <w:trPr>
          <w:trHeight w:val="24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9F56E0" w:rsidRDefault="009E0E74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1D494A" w:rsidRPr="001D494A" w:rsidTr="00625711">
        <w:trPr>
          <w:trHeight w:val="24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494A" w:rsidRDefault="001D494A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E5340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20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Colloquium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 40</w:t>
            </w:r>
          </w:p>
        </w:tc>
      </w:tr>
      <w:tr w:rsidR="00B51BBB" w:rsidRPr="004E4F73" w:rsidTr="00EB5C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9E0E74" w:rsidP="00B52F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</w:t>
            </w:r>
            <w:r w:rsidR="00F55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="00B51BBB"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="004E4F73" w:rsidRPr="004E4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 of ISW</w:t>
            </w:r>
            <w:r w:rsidR="004E4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52FB1" w:rsidRPr="00B52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the topic “</w:t>
            </w:r>
            <w:proofErr w:type="spellStart"/>
            <w:r w:rsidR="00B52FB1" w:rsidRPr="00B52F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Farmacogenomics</w:t>
            </w:r>
            <w:proofErr w:type="spellEnd"/>
            <w:r w:rsidR="00B52FB1" w:rsidRPr="00B52F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and </w:t>
            </w:r>
            <w:r w:rsidR="00151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other “</w:t>
            </w:r>
            <w:proofErr w:type="spellStart"/>
            <w:r w:rsidR="00151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Omics</w:t>
            </w:r>
            <w:proofErr w:type="spellEnd"/>
            <w:r w:rsidR="00151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” technologies used</w:t>
            </w:r>
            <w:r w:rsidR="00B52FB1" w:rsidRPr="00B52F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in the Drug Discovery and Development.”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EB5C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10</w:t>
            </w:r>
          </w:p>
        </w:tc>
      </w:tr>
      <w:tr w:rsidR="00B51BBB" w:rsidRPr="004E4F73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4E4F73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300</w:t>
            </w:r>
          </w:p>
        </w:tc>
      </w:tr>
    </w:tbl>
    <w:p w:rsidR="00B51BBB" w:rsidRPr="00B51BBB" w:rsidRDefault="00B51BBB" w:rsidP="00B51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      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Sarsenova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L.K.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Chairman of Faculty’s Methodical Bureau ____</w:t>
      </w:r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Ualiyeva</w:t>
      </w:r>
      <w:proofErr w:type="spellEnd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E.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A0A59" w:rsidRPr="00B51BBB" w:rsidRDefault="00BA0A59">
      <w:pPr>
        <w:rPr>
          <w:lang w:val="en-US"/>
        </w:rPr>
      </w:pPr>
    </w:p>
    <w:sectPr w:rsidR="00BA0A59" w:rsidRPr="00B5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892"/>
    <w:multiLevelType w:val="multilevel"/>
    <w:tmpl w:val="BC0CB4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E461875"/>
    <w:multiLevelType w:val="multilevel"/>
    <w:tmpl w:val="E81C03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B"/>
    <w:rsid w:val="000146F3"/>
    <w:rsid w:val="000272D1"/>
    <w:rsid w:val="000452E9"/>
    <w:rsid w:val="000518A7"/>
    <w:rsid w:val="00054E2D"/>
    <w:rsid w:val="00060087"/>
    <w:rsid w:val="000669F0"/>
    <w:rsid w:val="000B253E"/>
    <w:rsid w:val="000B397D"/>
    <w:rsid w:val="000D089B"/>
    <w:rsid w:val="000D3486"/>
    <w:rsid w:val="000F3344"/>
    <w:rsid w:val="00133B35"/>
    <w:rsid w:val="00151426"/>
    <w:rsid w:val="00163F17"/>
    <w:rsid w:val="00174BBA"/>
    <w:rsid w:val="001D494A"/>
    <w:rsid w:val="001E5340"/>
    <w:rsid w:val="001F22A3"/>
    <w:rsid w:val="001F7993"/>
    <w:rsid w:val="002053A7"/>
    <w:rsid w:val="00280F12"/>
    <w:rsid w:val="0029681D"/>
    <w:rsid w:val="002A4CC8"/>
    <w:rsid w:val="00342DBF"/>
    <w:rsid w:val="0039010C"/>
    <w:rsid w:val="003A3E30"/>
    <w:rsid w:val="004051B8"/>
    <w:rsid w:val="00416DD0"/>
    <w:rsid w:val="0044538A"/>
    <w:rsid w:val="00451869"/>
    <w:rsid w:val="00491E9D"/>
    <w:rsid w:val="004A61DD"/>
    <w:rsid w:val="004E4F73"/>
    <w:rsid w:val="00505B5C"/>
    <w:rsid w:val="005625D8"/>
    <w:rsid w:val="005668BB"/>
    <w:rsid w:val="005B6D5E"/>
    <w:rsid w:val="005D00F9"/>
    <w:rsid w:val="00617947"/>
    <w:rsid w:val="00625711"/>
    <w:rsid w:val="00632A61"/>
    <w:rsid w:val="006946B3"/>
    <w:rsid w:val="006D4642"/>
    <w:rsid w:val="006E22C6"/>
    <w:rsid w:val="00701985"/>
    <w:rsid w:val="00713A05"/>
    <w:rsid w:val="007649B8"/>
    <w:rsid w:val="007C6FD4"/>
    <w:rsid w:val="007F1E43"/>
    <w:rsid w:val="007F2D2B"/>
    <w:rsid w:val="00840C26"/>
    <w:rsid w:val="00855FCB"/>
    <w:rsid w:val="00873915"/>
    <w:rsid w:val="00884D1E"/>
    <w:rsid w:val="008854CA"/>
    <w:rsid w:val="008976B1"/>
    <w:rsid w:val="00910BB4"/>
    <w:rsid w:val="009223B2"/>
    <w:rsid w:val="009732F9"/>
    <w:rsid w:val="009A0B8E"/>
    <w:rsid w:val="009E0E74"/>
    <w:rsid w:val="009E2F17"/>
    <w:rsid w:val="009F56E0"/>
    <w:rsid w:val="00A16226"/>
    <w:rsid w:val="00A428C4"/>
    <w:rsid w:val="00A6075A"/>
    <w:rsid w:val="00AD2537"/>
    <w:rsid w:val="00B3442C"/>
    <w:rsid w:val="00B51BBB"/>
    <w:rsid w:val="00B52FB1"/>
    <w:rsid w:val="00B65097"/>
    <w:rsid w:val="00B758A5"/>
    <w:rsid w:val="00BA0A59"/>
    <w:rsid w:val="00C07CDB"/>
    <w:rsid w:val="00C13A20"/>
    <w:rsid w:val="00C1570F"/>
    <w:rsid w:val="00C21078"/>
    <w:rsid w:val="00C40CF8"/>
    <w:rsid w:val="00CC3DEA"/>
    <w:rsid w:val="00D167E7"/>
    <w:rsid w:val="00D178DF"/>
    <w:rsid w:val="00D36CA5"/>
    <w:rsid w:val="00DB0738"/>
    <w:rsid w:val="00E10E67"/>
    <w:rsid w:val="00E12599"/>
    <w:rsid w:val="00E168A8"/>
    <w:rsid w:val="00E46786"/>
    <w:rsid w:val="00E62C02"/>
    <w:rsid w:val="00EB1631"/>
    <w:rsid w:val="00EB5C82"/>
    <w:rsid w:val="00EC5A4D"/>
    <w:rsid w:val="00F5580D"/>
    <w:rsid w:val="00FD6483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3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3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ornl.gov/sci/techresources/Human_Genome/project/info.shtml" TargetMode="External"/><Relationship Id="rId13" Type="http://schemas.openxmlformats.org/officeDocument/2006/relationships/hyperlink" Target="https://www.ebi.ac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ndfonline.com/action/doSearch?AllField=omics&amp;SeriesKey=iedc20&amp;pageSize=10&amp;subjectTitle=&amp;startPage=0" TargetMode="External"/><Relationship Id="rId12" Type="http://schemas.openxmlformats.org/officeDocument/2006/relationships/hyperlink" Target="http://asia.ensembl.org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cturio.com" TargetMode="External"/><Relationship Id="rId11" Type="http://schemas.openxmlformats.org/officeDocument/2006/relationships/hyperlink" Target="https://www.ncbi.nlm.nih.gov/omim?db=OM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" TargetMode="External"/><Relationship Id="rId10" Type="http://schemas.openxmlformats.org/officeDocument/2006/relationships/hyperlink" Target="http://ndbserver.rutgers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" TargetMode="External"/><Relationship Id="rId14" Type="http://schemas.openxmlformats.org/officeDocument/2006/relationships/hyperlink" Target="https://www.khanacadem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2093</cp:revision>
  <cp:lastPrinted>2021-06-28T09:16:00Z</cp:lastPrinted>
  <dcterms:created xsi:type="dcterms:W3CDTF">2021-02-09T12:29:00Z</dcterms:created>
  <dcterms:modified xsi:type="dcterms:W3CDTF">2021-06-28T09:18:00Z</dcterms:modified>
</cp:coreProperties>
</file>